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93421E" w:rsidRDefault="005739C6" w:rsidP="0093421E">
      <w:pPr>
        <w:spacing w:after="0" w:line="360" w:lineRule="auto"/>
        <w:jc w:val="both"/>
        <w:rPr>
          <w:rFonts w:ascii="Arial" w:hAnsi="Arial" w:cs="Arial"/>
          <w:b/>
          <w:bCs/>
          <w:u w:val="single"/>
        </w:rPr>
      </w:pPr>
      <w:r w:rsidRPr="0093421E">
        <w:rPr>
          <w:rFonts w:ascii="Arial" w:hAnsi="Arial" w:cs="Arial"/>
          <w:b/>
          <w:bCs/>
          <w:u w:val="single"/>
        </w:rPr>
        <w:t xml:space="preserve">Nombre del área: </w:t>
      </w:r>
    </w:p>
    <w:p w14:paraId="546267C9" w14:textId="23685F88" w:rsidR="005739C6" w:rsidRPr="0093421E" w:rsidRDefault="0093421E" w:rsidP="0093421E">
      <w:pPr>
        <w:pStyle w:val="NormalWeb"/>
        <w:spacing w:before="0" w:beforeAutospacing="0" w:after="0" w:afterAutospacing="0" w:line="360" w:lineRule="auto"/>
        <w:jc w:val="both"/>
        <w:rPr>
          <w:rFonts w:ascii="Arial" w:hAnsi="Arial" w:cs="Arial"/>
          <w:i/>
          <w:iCs/>
          <w:sz w:val="22"/>
          <w:szCs w:val="22"/>
        </w:rPr>
      </w:pPr>
      <w:r w:rsidRPr="0093421E">
        <w:rPr>
          <w:rFonts w:ascii="Arial" w:hAnsi="Arial" w:cs="Arial"/>
          <w:i/>
          <w:iCs/>
          <w:sz w:val="22"/>
          <w:szCs w:val="22"/>
        </w:rPr>
        <w:t>Superintendencia De Seguridad Siniestral – Dirección De Bomberos</w:t>
      </w:r>
    </w:p>
    <w:p w14:paraId="3E7D1103" w14:textId="79523F3B" w:rsidR="005739C6" w:rsidRPr="0093421E" w:rsidRDefault="005739C6" w:rsidP="0093421E">
      <w:pPr>
        <w:spacing w:after="0" w:line="360" w:lineRule="auto"/>
        <w:jc w:val="both"/>
        <w:rPr>
          <w:rFonts w:ascii="Arial" w:hAnsi="Arial" w:cs="Arial"/>
          <w:b/>
          <w:u w:val="single"/>
        </w:rPr>
      </w:pPr>
      <w:r w:rsidRPr="0093421E">
        <w:rPr>
          <w:rFonts w:ascii="Arial" w:hAnsi="Arial" w:cs="Arial"/>
          <w:b/>
          <w:u w:val="single"/>
        </w:rPr>
        <w:t xml:space="preserve">Nombre de la capacitación: </w:t>
      </w:r>
    </w:p>
    <w:p w14:paraId="65136EA6" w14:textId="1947E2EF" w:rsidR="005739C6" w:rsidRPr="0093421E" w:rsidRDefault="00110D38" w:rsidP="0093421E">
      <w:pPr>
        <w:pStyle w:val="Ttulo1"/>
        <w:spacing w:before="0" w:beforeAutospacing="0" w:after="0" w:afterAutospacing="0" w:line="360" w:lineRule="auto"/>
        <w:jc w:val="both"/>
        <w:rPr>
          <w:rFonts w:ascii="Arial" w:hAnsi="Arial" w:cs="Arial"/>
          <w:b w:val="0"/>
          <w:color w:val="000000"/>
          <w:sz w:val="22"/>
          <w:szCs w:val="22"/>
        </w:rPr>
      </w:pPr>
      <w:r w:rsidRPr="0093421E">
        <w:rPr>
          <w:rFonts w:ascii="Arial" w:hAnsi="Arial" w:cs="Arial"/>
          <w:b w:val="0"/>
          <w:i/>
          <w:iCs/>
          <w:sz w:val="22"/>
          <w:szCs w:val="22"/>
        </w:rPr>
        <w:t>“</w:t>
      </w:r>
      <w:r w:rsidR="0047121D" w:rsidRPr="0093421E">
        <w:rPr>
          <w:rFonts w:ascii="Arial" w:hAnsi="Arial" w:cs="Arial"/>
          <w:b w:val="0"/>
          <w:i/>
          <w:iCs/>
          <w:sz w:val="22"/>
          <w:szCs w:val="22"/>
        </w:rPr>
        <w:t>Curso de incendios estructurales</w:t>
      </w:r>
      <w:r w:rsidRPr="0093421E">
        <w:rPr>
          <w:rFonts w:ascii="Arial" w:hAnsi="Arial" w:cs="Arial"/>
          <w:b w:val="0"/>
          <w:i/>
          <w:iCs/>
          <w:sz w:val="22"/>
          <w:szCs w:val="22"/>
        </w:rPr>
        <w:t>”</w:t>
      </w:r>
    </w:p>
    <w:p w14:paraId="1325AFA2" w14:textId="5292CEC6" w:rsidR="005739C6" w:rsidRPr="0093421E" w:rsidRDefault="005739C6" w:rsidP="0093421E">
      <w:pPr>
        <w:pStyle w:val="Ttulo1"/>
        <w:spacing w:before="0" w:beforeAutospacing="0" w:after="0" w:afterAutospacing="0" w:line="360" w:lineRule="auto"/>
        <w:jc w:val="both"/>
        <w:rPr>
          <w:rFonts w:ascii="Arial" w:hAnsi="Arial" w:cs="Arial"/>
          <w:sz w:val="22"/>
          <w:szCs w:val="22"/>
          <w:u w:val="single"/>
        </w:rPr>
      </w:pPr>
      <w:r w:rsidRPr="0093421E">
        <w:rPr>
          <w:rFonts w:ascii="Arial" w:hAnsi="Arial" w:cs="Arial"/>
          <w:color w:val="000000"/>
          <w:sz w:val="22"/>
          <w:szCs w:val="22"/>
          <w:u w:val="single"/>
        </w:rPr>
        <w:t>Descripción:</w:t>
      </w:r>
    </w:p>
    <w:p w14:paraId="6EAEC41A" w14:textId="2C8985B4" w:rsidR="00A46225"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El Ministerio de Seguridad, en cumplimiento de sus funciones esenciales en materia de conducción, planificación y supervisión de las políticas de seguridad pública, tiene como responsabilidad estratégica garantizar la capacitación, actualización y perfeccionamiento permanente del personal policial que desarrolla funciones específicas, particularmente aquel perteneciente a la Dirección de Bomberos de la Superintendencia de Seguridad Siniestral.</w:t>
      </w:r>
    </w:p>
    <w:p w14:paraId="1A5E3C0F" w14:textId="32DB1984" w:rsidR="00A46225"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La actividad operativa vinculada a incendios estructurales constituye una de las intervenciones de mayor complejidad técnica, riesgo intrínseco y variabilidad dinámica dentro del espectro de emergencias siniestrales. El personal interviniente debe enfrentar escenarios caracterizados por comportamientos térmicos inestables, producción masiva de gases tóxicos, colapso estructural progresivo, cambios súbitos en el régimen de ventilación y fenómenos de rápida propagación del fuego, lo cual exige una sólida formación teórica complementada con entrenamiento práctico sistemático.</w:t>
      </w:r>
    </w:p>
    <w:p w14:paraId="34B05ACB" w14:textId="1A6EAF9A" w:rsidR="00A46225"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En este contexto, la capacitación permanente no sólo responde a una necesidad institucional de actualización, sino que constituye un requisito operativo indispensable para minimizar la probabilidad de lesiones, reducir la exposición a factores de riesgo físico–químicos y optimizar la eficacia en la preservación de vidas y bienes.</w:t>
      </w:r>
    </w:p>
    <w:p w14:paraId="77A0F9C3" w14:textId="51C33BC2" w:rsidR="00A46225"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La presente propuesta formativa se orienta prioritariamente al personal recientemente incorporado a la especialidad, procurando establecer una base doctrinaria homogénea en materia de incendios estructurales. La misma se fundamenta en el incremento sostenido de eventos vinculados a incendios en edificaciones, así como en la transformación de los sistemas constructivos contemporáneos.</w:t>
      </w:r>
    </w:p>
    <w:p w14:paraId="10452FC5" w14:textId="46B92BEB" w:rsidR="00A46225"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El curso propone un abordaje técnico progresivo que parte del análisis de la química y física del fuego, comprendiendo los procesos de combustión, transferencia de calor (conducción, convección y radiación) y mecanismos de extinción. Asimismo, incorpora el estudio de los productos de la combustión —especialmente aquellos derivados de combustiones incompletas— y su impacto fisiopatológico sobre el organismo humano, incluyendo intoxicación por monóxido de carbono, cianuros y exposición a atmósferas con deficiencia de oxígeno.</w:t>
      </w:r>
    </w:p>
    <w:p w14:paraId="27702439" w14:textId="48D6C33E" w:rsidR="00A46225"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 xml:space="preserve">Paralelamente, se desarrollará el análisis del comportamiento estructural de edificaciones sometidas a cargas térmicas, considerando la pérdida de capacidad </w:t>
      </w:r>
      <w:r w:rsidRPr="0093421E">
        <w:rPr>
          <w:rFonts w:ascii="Arial" w:hAnsi="Arial" w:cs="Arial"/>
          <w:b w:val="0"/>
          <w:bCs w:val="0"/>
          <w:i/>
          <w:iCs/>
          <w:color w:val="000000"/>
          <w:kern w:val="0"/>
          <w:sz w:val="22"/>
          <w:szCs w:val="22"/>
        </w:rPr>
        <w:lastRenderedPageBreak/>
        <w:t>portante en elementos de acero, hormigón armado y madera, así como los indicadores operativos de colapso inminente. Este conocimiento resulta determinante para la toma de decisiones tácticas seguras durante la intervención.</w:t>
      </w:r>
    </w:p>
    <w:p w14:paraId="3ADE35DD" w14:textId="720CF870" w:rsidR="00A46225"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Debe señalarse que la labor del bombero estructural se encuentra atravesada por un alto grado de incertidumbre operativa, producto de la variabilidad de los escenarios, la información incompleta disponible al arribo y la evolución dinámica del siniestro. En consecuencia, la selección de estrategias ofensivas o defensivas, la gestión del riesgo y la administración de recursos requieren no sólo conocimiento técnico, sino también entrenamiento físico acorde a las demandas metabólicas de la intervención.</w:t>
      </w:r>
    </w:p>
    <w:p w14:paraId="7116D763" w14:textId="07127A3D" w:rsidR="005739C6" w:rsidRPr="0093421E" w:rsidRDefault="00A46225" w:rsidP="0093421E">
      <w:pPr>
        <w:pStyle w:val="Ttulo1"/>
        <w:spacing w:before="0" w:beforeAutospacing="0" w:after="0" w:afterAutospacing="0" w:line="360" w:lineRule="auto"/>
        <w:jc w:val="both"/>
        <w:rPr>
          <w:rFonts w:ascii="Arial" w:hAnsi="Arial" w:cs="Arial"/>
          <w:b w:val="0"/>
          <w:bCs w:val="0"/>
          <w:i/>
          <w:iCs/>
          <w:color w:val="000000"/>
          <w:kern w:val="0"/>
          <w:sz w:val="22"/>
          <w:szCs w:val="22"/>
        </w:rPr>
      </w:pPr>
      <w:r w:rsidRPr="0093421E">
        <w:rPr>
          <w:rFonts w:ascii="Arial" w:hAnsi="Arial" w:cs="Arial"/>
          <w:b w:val="0"/>
          <w:bCs w:val="0"/>
          <w:i/>
          <w:iCs/>
          <w:color w:val="000000"/>
          <w:kern w:val="0"/>
          <w:sz w:val="22"/>
          <w:szCs w:val="22"/>
        </w:rPr>
        <w:t>El presente curso se encuentra destinado principalmente al personal operativo de dotaciones de incendios, quienes en cada intervención aplican técnicas de control y extinción que implican la operación coordinada de autobombas, líneas de ataque, sistemas de ventilación, equipos de respiración autónoma y herramientas de forzamiento, enfrentando riesgos térmicos, estructurales, eléctricos y atmosféricos.</w:t>
      </w:r>
    </w:p>
    <w:p w14:paraId="1C9A52EE" w14:textId="785C022E" w:rsidR="005739C6" w:rsidRPr="0093421E" w:rsidRDefault="005739C6" w:rsidP="0093421E">
      <w:pPr>
        <w:pStyle w:val="Ttulo1"/>
        <w:spacing w:before="0" w:beforeAutospacing="0" w:after="0" w:afterAutospacing="0" w:line="360" w:lineRule="auto"/>
        <w:jc w:val="both"/>
        <w:rPr>
          <w:rFonts w:ascii="Arial" w:hAnsi="Arial" w:cs="Arial"/>
          <w:sz w:val="22"/>
          <w:szCs w:val="22"/>
          <w:u w:val="single"/>
        </w:rPr>
      </w:pPr>
      <w:r w:rsidRPr="0093421E">
        <w:rPr>
          <w:rFonts w:ascii="Arial" w:hAnsi="Arial" w:cs="Arial"/>
          <w:color w:val="000000"/>
          <w:sz w:val="22"/>
          <w:szCs w:val="22"/>
          <w:u w:val="single"/>
        </w:rPr>
        <w:t>Destinatarios:</w:t>
      </w:r>
    </w:p>
    <w:p w14:paraId="676C3605" w14:textId="16709DE0" w:rsidR="005739C6" w:rsidRPr="0093421E" w:rsidRDefault="00110D38" w:rsidP="0093421E">
      <w:pPr>
        <w:spacing w:after="0" w:line="360" w:lineRule="auto"/>
        <w:jc w:val="both"/>
        <w:rPr>
          <w:rFonts w:ascii="Arial" w:hAnsi="Arial" w:cs="Arial"/>
          <w:i/>
          <w:iCs/>
        </w:rPr>
      </w:pPr>
      <w:r w:rsidRPr="0093421E">
        <w:rPr>
          <w:rFonts w:ascii="Arial" w:eastAsia="Times New Roman" w:hAnsi="Arial" w:cs="Arial"/>
          <w:i/>
          <w:iCs/>
          <w:color w:val="000000"/>
          <w:lang w:eastAsia="es-AR"/>
        </w:rPr>
        <w:t>La propuesta estará dirigida a todo el personal de la Superintendencia de Seguridad Siniestral sin distinción de escalafones</w:t>
      </w:r>
    </w:p>
    <w:p w14:paraId="3D615B8C" w14:textId="00563BB3" w:rsidR="005739C6" w:rsidRPr="0093421E" w:rsidRDefault="005739C6" w:rsidP="0093421E">
      <w:pPr>
        <w:pStyle w:val="NormalWeb"/>
        <w:spacing w:before="0" w:beforeAutospacing="0" w:after="0" w:afterAutospacing="0" w:line="360" w:lineRule="auto"/>
        <w:jc w:val="both"/>
        <w:rPr>
          <w:rFonts w:ascii="Arial" w:hAnsi="Arial" w:cs="Arial"/>
          <w:sz w:val="22"/>
          <w:szCs w:val="22"/>
          <w:u w:val="single"/>
        </w:rPr>
      </w:pPr>
      <w:r w:rsidRPr="0093421E">
        <w:rPr>
          <w:rFonts w:ascii="Arial" w:hAnsi="Arial" w:cs="Arial"/>
          <w:b/>
          <w:bCs/>
          <w:color w:val="000000"/>
          <w:sz w:val="22"/>
          <w:szCs w:val="22"/>
          <w:u w:val="single"/>
        </w:rPr>
        <w:t xml:space="preserve">Modalidad: </w:t>
      </w:r>
    </w:p>
    <w:p w14:paraId="5B01DBC1" w14:textId="4FB47CA7" w:rsidR="005739C6" w:rsidRPr="0093421E" w:rsidRDefault="00A46225" w:rsidP="0093421E">
      <w:pPr>
        <w:spacing w:after="0" w:line="360" w:lineRule="auto"/>
        <w:jc w:val="both"/>
        <w:rPr>
          <w:rFonts w:ascii="Arial" w:eastAsia="Times New Roman" w:hAnsi="Arial" w:cs="Arial"/>
          <w:i/>
          <w:iCs/>
          <w:lang w:eastAsia="es-AR"/>
        </w:rPr>
      </w:pPr>
      <w:r w:rsidRPr="0093421E">
        <w:rPr>
          <w:rFonts w:ascii="Arial" w:eastAsia="Times New Roman" w:hAnsi="Arial" w:cs="Arial"/>
          <w:i/>
          <w:iCs/>
          <w:color w:val="000000"/>
          <w:lang w:eastAsia="es-AR"/>
        </w:rPr>
        <w:t>Semipresencial</w:t>
      </w:r>
    </w:p>
    <w:p w14:paraId="71586968" w14:textId="073CECBE" w:rsidR="005739C6" w:rsidRPr="0093421E" w:rsidRDefault="005739C6" w:rsidP="0093421E">
      <w:pPr>
        <w:pStyle w:val="NormalWeb"/>
        <w:spacing w:before="0" w:beforeAutospacing="0" w:after="0" w:afterAutospacing="0" w:line="360" w:lineRule="auto"/>
        <w:jc w:val="both"/>
        <w:rPr>
          <w:rFonts w:ascii="Arial" w:hAnsi="Arial" w:cs="Arial"/>
          <w:sz w:val="22"/>
          <w:szCs w:val="22"/>
          <w:u w:val="single"/>
        </w:rPr>
      </w:pPr>
      <w:r w:rsidRPr="0093421E">
        <w:rPr>
          <w:rFonts w:ascii="Arial" w:hAnsi="Arial" w:cs="Arial"/>
          <w:b/>
          <w:bCs/>
          <w:color w:val="000000"/>
          <w:sz w:val="22"/>
          <w:szCs w:val="22"/>
          <w:u w:val="single"/>
        </w:rPr>
        <w:t xml:space="preserve">Carga horaria: </w:t>
      </w:r>
    </w:p>
    <w:p w14:paraId="67D0A301" w14:textId="589BF356" w:rsidR="005739C6" w:rsidRPr="0093421E" w:rsidRDefault="009F4EAD" w:rsidP="0093421E">
      <w:pPr>
        <w:spacing w:after="0" w:line="360" w:lineRule="auto"/>
        <w:jc w:val="both"/>
        <w:rPr>
          <w:rFonts w:ascii="Arial" w:hAnsi="Arial" w:cs="Arial"/>
          <w:i/>
        </w:rPr>
      </w:pPr>
      <w:r w:rsidRPr="0093421E">
        <w:rPr>
          <w:rFonts w:ascii="Arial" w:hAnsi="Arial" w:cs="Arial"/>
          <w:bCs/>
          <w:i/>
          <w:color w:val="000000"/>
        </w:rPr>
        <w:t>1</w:t>
      </w:r>
      <w:r w:rsidR="00111C43" w:rsidRPr="0093421E">
        <w:rPr>
          <w:rFonts w:ascii="Arial" w:hAnsi="Arial" w:cs="Arial"/>
          <w:bCs/>
          <w:i/>
          <w:color w:val="000000"/>
        </w:rPr>
        <w:t>28</w:t>
      </w:r>
      <w:r w:rsidR="009D58DD">
        <w:rPr>
          <w:rFonts w:ascii="Arial" w:hAnsi="Arial" w:cs="Arial"/>
          <w:bCs/>
          <w:i/>
          <w:color w:val="000000"/>
        </w:rPr>
        <w:t xml:space="preserve"> Horas reloj</w:t>
      </w:r>
      <w:bookmarkStart w:id="0" w:name="_GoBack"/>
      <w:bookmarkEnd w:id="0"/>
    </w:p>
    <w:p w14:paraId="6DA641F2" w14:textId="77777777" w:rsidR="00A65C10" w:rsidRPr="0093421E" w:rsidRDefault="005739C6" w:rsidP="0093421E">
      <w:pPr>
        <w:pStyle w:val="Ttulo1"/>
        <w:spacing w:before="0" w:beforeAutospacing="0" w:after="0" w:afterAutospacing="0" w:line="360" w:lineRule="auto"/>
        <w:jc w:val="both"/>
        <w:rPr>
          <w:rFonts w:ascii="Arial" w:hAnsi="Arial" w:cs="Arial"/>
          <w:sz w:val="22"/>
          <w:szCs w:val="22"/>
          <w:u w:val="single"/>
        </w:rPr>
      </w:pPr>
      <w:r w:rsidRPr="0093421E">
        <w:rPr>
          <w:rFonts w:ascii="Arial" w:hAnsi="Arial" w:cs="Arial"/>
          <w:color w:val="000000"/>
          <w:sz w:val="22"/>
          <w:szCs w:val="22"/>
          <w:u w:val="single"/>
        </w:rPr>
        <w:t xml:space="preserve">Ediciones: </w:t>
      </w:r>
    </w:p>
    <w:p w14:paraId="5517F1F2" w14:textId="5B030B27" w:rsidR="00A46225" w:rsidRPr="0093421E" w:rsidRDefault="00A46225" w:rsidP="0093421E">
      <w:pPr>
        <w:pStyle w:val="NormalWeb"/>
        <w:spacing w:before="0" w:beforeAutospacing="0" w:after="0" w:afterAutospacing="0" w:line="360" w:lineRule="auto"/>
        <w:jc w:val="both"/>
        <w:rPr>
          <w:rFonts w:ascii="Arial" w:hAnsi="Arial" w:cs="Arial"/>
          <w:color w:val="000000"/>
          <w:sz w:val="22"/>
          <w:szCs w:val="22"/>
        </w:rPr>
      </w:pPr>
      <w:r w:rsidRPr="0093421E">
        <w:rPr>
          <w:rFonts w:ascii="Arial" w:hAnsi="Arial" w:cs="Arial"/>
          <w:color w:val="000000"/>
          <w:sz w:val="22"/>
          <w:szCs w:val="22"/>
        </w:rPr>
        <w:t>Dos (02)</w:t>
      </w:r>
      <w:r w:rsidR="0093421E">
        <w:rPr>
          <w:rFonts w:ascii="Arial" w:hAnsi="Arial" w:cs="Arial"/>
          <w:color w:val="000000"/>
          <w:sz w:val="22"/>
          <w:szCs w:val="22"/>
        </w:rPr>
        <w:t xml:space="preserve"> ediciones.</w:t>
      </w:r>
    </w:p>
    <w:p w14:paraId="4C89C929" w14:textId="1DA16E7A" w:rsidR="005739C6" w:rsidRPr="0093421E" w:rsidRDefault="005739C6" w:rsidP="0093421E">
      <w:pPr>
        <w:pStyle w:val="NormalWeb"/>
        <w:spacing w:before="0" w:beforeAutospacing="0" w:after="0" w:afterAutospacing="0" w:line="360" w:lineRule="auto"/>
        <w:jc w:val="both"/>
        <w:rPr>
          <w:rFonts w:ascii="Arial" w:hAnsi="Arial" w:cs="Arial"/>
          <w:b/>
          <w:color w:val="000000"/>
          <w:sz w:val="22"/>
          <w:szCs w:val="22"/>
          <w:u w:val="single"/>
        </w:rPr>
      </w:pPr>
      <w:r w:rsidRPr="0093421E">
        <w:rPr>
          <w:rFonts w:ascii="Arial" w:hAnsi="Arial" w:cs="Arial"/>
          <w:b/>
          <w:bCs/>
          <w:color w:val="000000"/>
          <w:sz w:val="22"/>
          <w:szCs w:val="22"/>
          <w:u w:val="single"/>
        </w:rPr>
        <w:t xml:space="preserve">Fecha de inicio y finalización: </w:t>
      </w:r>
    </w:p>
    <w:p w14:paraId="7F657012" w14:textId="0210D68A" w:rsidR="00A65C10" w:rsidRPr="0093421E" w:rsidRDefault="0093421E" w:rsidP="0093421E">
      <w:pPr>
        <w:pStyle w:val="NormalWeb"/>
        <w:spacing w:before="0" w:beforeAutospacing="0" w:after="0" w:afterAutospacing="0" w:line="360" w:lineRule="auto"/>
        <w:jc w:val="both"/>
        <w:rPr>
          <w:rFonts w:ascii="Arial" w:hAnsi="Arial" w:cs="Arial"/>
          <w:bCs/>
          <w:i/>
          <w:iCs/>
          <w:sz w:val="22"/>
          <w:szCs w:val="22"/>
        </w:rPr>
      </w:pPr>
      <w:r>
        <w:rPr>
          <w:rFonts w:ascii="Arial" w:hAnsi="Arial" w:cs="Arial"/>
          <w:bCs/>
          <w:i/>
          <w:iCs/>
          <w:sz w:val="22"/>
          <w:szCs w:val="22"/>
        </w:rPr>
        <w:t xml:space="preserve">Primera Edición: Marzo a </w:t>
      </w:r>
      <w:r w:rsidR="00A46225" w:rsidRPr="0093421E">
        <w:rPr>
          <w:rFonts w:ascii="Arial" w:hAnsi="Arial" w:cs="Arial"/>
          <w:bCs/>
          <w:i/>
          <w:iCs/>
          <w:sz w:val="22"/>
          <w:szCs w:val="22"/>
        </w:rPr>
        <w:t>Mayo</w:t>
      </w:r>
      <w:r>
        <w:rPr>
          <w:rFonts w:ascii="Arial" w:hAnsi="Arial" w:cs="Arial"/>
          <w:bCs/>
          <w:i/>
          <w:iCs/>
          <w:sz w:val="22"/>
          <w:szCs w:val="22"/>
        </w:rPr>
        <w:t>.</w:t>
      </w:r>
    </w:p>
    <w:p w14:paraId="05A699A2" w14:textId="4F8A2741" w:rsidR="00A46225" w:rsidRPr="0093421E" w:rsidRDefault="0093421E" w:rsidP="0093421E">
      <w:pPr>
        <w:pStyle w:val="NormalWeb"/>
        <w:spacing w:before="0" w:beforeAutospacing="0" w:after="0" w:afterAutospacing="0" w:line="360" w:lineRule="auto"/>
        <w:jc w:val="both"/>
        <w:rPr>
          <w:rFonts w:ascii="Arial" w:hAnsi="Arial" w:cs="Arial"/>
          <w:bCs/>
          <w:i/>
          <w:iCs/>
          <w:sz w:val="22"/>
          <w:szCs w:val="22"/>
        </w:rPr>
      </w:pPr>
      <w:r>
        <w:rPr>
          <w:rFonts w:ascii="Arial" w:hAnsi="Arial" w:cs="Arial"/>
          <w:bCs/>
          <w:i/>
          <w:iCs/>
          <w:sz w:val="22"/>
          <w:szCs w:val="22"/>
        </w:rPr>
        <w:t xml:space="preserve">Segunda Edición: </w:t>
      </w:r>
      <w:r w:rsidR="00A46225" w:rsidRPr="0093421E">
        <w:rPr>
          <w:rFonts w:ascii="Arial" w:hAnsi="Arial" w:cs="Arial"/>
          <w:bCs/>
          <w:i/>
          <w:iCs/>
          <w:sz w:val="22"/>
          <w:szCs w:val="22"/>
        </w:rPr>
        <w:t>Agosto</w:t>
      </w:r>
      <w:r>
        <w:rPr>
          <w:rFonts w:ascii="Arial" w:hAnsi="Arial" w:cs="Arial"/>
          <w:bCs/>
          <w:i/>
          <w:iCs/>
          <w:sz w:val="22"/>
          <w:szCs w:val="22"/>
        </w:rPr>
        <w:t xml:space="preserve"> a </w:t>
      </w:r>
      <w:r w:rsidR="004735F1" w:rsidRPr="0093421E">
        <w:rPr>
          <w:rFonts w:ascii="Arial" w:hAnsi="Arial" w:cs="Arial"/>
          <w:bCs/>
          <w:i/>
          <w:iCs/>
          <w:sz w:val="22"/>
          <w:szCs w:val="22"/>
        </w:rPr>
        <w:t>Octubre</w:t>
      </w:r>
      <w:r>
        <w:rPr>
          <w:rFonts w:ascii="Arial" w:hAnsi="Arial" w:cs="Arial"/>
          <w:bCs/>
          <w:i/>
          <w:iCs/>
          <w:sz w:val="22"/>
          <w:szCs w:val="22"/>
        </w:rPr>
        <w:t>.</w:t>
      </w:r>
    </w:p>
    <w:p w14:paraId="38C44AF6" w14:textId="4DDCEC49" w:rsidR="00A65C10" w:rsidRPr="0093421E" w:rsidRDefault="005739C6" w:rsidP="0093421E">
      <w:pPr>
        <w:pStyle w:val="NormalWeb"/>
        <w:spacing w:before="0" w:beforeAutospacing="0" w:after="0" w:afterAutospacing="0" w:line="360" w:lineRule="auto"/>
        <w:jc w:val="both"/>
        <w:rPr>
          <w:rFonts w:ascii="Arial" w:hAnsi="Arial" w:cs="Arial"/>
          <w:b/>
          <w:bCs/>
          <w:color w:val="000000"/>
          <w:sz w:val="22"/>
          <w:szCs w:val="22"/>
          <w:u w:val="single"/>
        </w:rPr>
      </w:pPr>
      <w:r w:rsidRPr="0093421E">
        <w:rPr>
          <w:rFonts w:ascii="Arial" w:hAnsi="Arial" w:cs="Arial"/>
          <w:b/>
          <w:bCs/>
          <w:color w:val="000000"/>
          <w:sz w:val="22"/>
          <w:szCs w:val="22"/>
          <w:u w:val="single"/>
        </w:rPr>
        <w:t xml:space="preserve">Cupo: </w:t>
      </w:r>
    </w:p>
    <w:p w14:paraId="3CFA44EE" w14:textId="1A941A48" w:rsidR="00A65C10" w:rsidRPr="0093421E" w:rsidRDefault="00110D38" w:rsidP="0093421E">
      <w:pPr>
        <w:pStyle w:val="NormalWeb"/>
        <w:spacing w:before="0" w:beforeAutospacing="0" w:after="0" w:afterAutospacing="0" w:line="360" w:lineRule="auto"/>
        <w:jc w:val="both"/>
        <w:rPr>
          <w:rFonts w:ascii="Arial" w:hAnsi="Arial" w:cs="Arial"/>
          <w:i/>
          <w:iCs/>
          <w:sz w:val="22"/>
          <w:szCs w:val="22"/>
        </w:rPr>
      </w:pPr>
      <w:r w:rsidRPr="0093421E">
        <w:rPr>
          <w:rFonts w:ascii="Arial" w:hAnsi="Arial" w:cs="Arial"/>
          <w:bCs/>
          <w:i/>
          <w:iCs/>
          <w:sz w:val="22"/>
          <w:szCs w:val="22"/>
        </w:rPr>
        <w:t xml:space="preserve">Máximo por edición </w:t>
      </w:r>
      <w:r w:rsidR="00111C43" w:rsidRPr="0093421E">
        <w:rPr>
          <w:rFonts w:ascii="Arial" w:hAnsi="Arial" w:cs="Arial"/>
          <w:bCs/>
          <w:i/>
          <w:iCs/>
          <w:sz w:val="22"/>
          <w:szCs w:val="22"/>
        </w:rPr>
        <w:t>30</w:t>
      </w:r>
      <w:r w:rsidRPr="0093421E">
        <w:rPr>
          <w:rFonts w:ascii="Arial" w:hAnsi="Arial" w:cs="Arial"/>
          <w:bCs/>
          <w:i/>
          <w:iCs/>
          <w:sz w:val="22"/>
          <w:szCs w:val="22"/>
        </w:rPr>
        <w:t xml:space="preserve"> efectivos</w:t>
      </w:r>
    </w:p>
    <w:p w14:paraId="6350AFD8" w14:textId="49EBC281" w:rsidR="005739C6" w:rsidRPr="0093421E" w:rsidRDefault="005739C6" w:rsidP="0093421E">
      <w:pPr>
        <w:pStyle w:val="Ttulo1"/>
        <w:spacing w:before="0" w:beforeAutospacing="0" w:after="0" w:afterAutospacing="0" w:line="360" w:lineRule="auto"/>
        <w:jc w:val="both"/>
        <w:rPr>
          <w:rFonts w:ascii="Arial" w:hAnsi="Arial" w:cs="Arial"/>
          <w:color w:val="000000"/>
          <w:sz w:val="22"/>
          <w:szCs w:val="22"/>
        </w:rPr>
      </w:pPr>
      <w:r w:rsidRPr="0093421E">
        <w:rPr>
          <w:rFonts w:ascii="Arial" w:hAnsi="Arial" w:cs="Arial"/>
          <w:color w:val="000000"/>
          <w:sz w:val="22"/>
          <w:szCs w:val="22"/>
          <w:u w:val="single"/>
        </w:rPr>
        <w:t>Medio de contacto</w:t>
      </w:r>
      <w:r w:rsidRPr="0093421E">
        <w:rPr>
          <w:rFonts w:ascii="Arial" w:hAnsi="Arial" w:cs="Arial"/>
          <w:color w:val="000000"/>
          <w:sz w:val="22"/>
          <w:szCs w:val="22"/>
        </w:rPr>
        <w:t>:</w:t>
      </w:r>
    </w:p>
    <w:p w14:paraId="7491B7D6" w14:textId="1ECFB8A8" w:rsidR="00A65C10" w:rsidRPr="0093421E" w:rsidRDefault="006B2417" w:rsidP="0093421E">
      <w:pPr>
        <w:pStyle w:val="Ttulo1"/>
        <w:spacing w:before="0" w:beforeAutospacing="0" w:after="0" w:afterAutospacing="0" w:line="360" w:lineRule="auto"/>
        <w:jc w:val="both"/>
        <w:rPr>
          <w:rFonts w:ascii="Arial" w:hAnsi="Arial" w:cs="Arial"/>
          <w:sz w:val="22"/>
          <w:szCs w:val="22"/>
        </w:rPr>
      </w:pPr>
      <w:r w:rsidRPr="0093421E">
        <w:rPr>
          <w:rFonts w:ascii="Arial" w:hAnsi="Arial" w:cs="Arial"/>
          <w:b w:val="0"/>
          <w:bCs w:val="0"/>
          <w:i/>
          <w:iCs/>
          <w:sz w:val="22"/>
          <w:szCs w:val="22"/>
        </w:rPr>
        <w:t>(0221)</w:t>
      </w:r>
      <w:r w:rsidR="004735F1" w:rsidRPr="0093421E">
        <w:rPr>
          <w:rFonts w:ascii="Arial" w:hAnsi="Arial" w:cs="Arial"/>
          <w:b w:val="0"/>
          <w:bCs w:val="0"/>
          <w:i/>
          <w:iCs/>
          <w:sz w:val="22"/>
          <w:szCs w:val="22"/>
        </w:rPr>
        <w:t>425</w:t>
      </w:r>
      <w:r w:rsidR="0093421E">
        <w:rPr>
          <w:rFonts w:ascii="Arial" w:hAnsi="Arial" w:cs="Arial"/>
          <w:b w:val="0"/>
          <w:bCs w:val="0"/>
          <w:i/>
          <w:iCs/>
          <w:sz w:val="22"/>
          <w:szCs w:val="22"/>
        </w:rPr>
        <w:t>-</w:t>
      </w:r>
      <w:r w:rsidR="004735F1" w:rsidRPr="0093421E">
        <w:rPr>
          <w:rFonts w:ascii="Arial" w:hAnsi="Arial" w:cs="Arial"/>
          <w:b w:val="0"/>
          <w:bCs w:val="0"/>
          <w:i/>
          <w:iCs/>
          <w:sz w:val="22"/>
          <w:szCs w:val="22"/>
        </w:rPr>
        <w:t>9234</w:t>
      </w:r>
      <w:r w:rsidR="00A65C10" w:rsidRPr="0093421E">
        <w:rPr>
          <w:rFonts w:ascii="Arial" w:hAnsi="Arial" w:cs="Arial"/>
          <w:i/>
          <w:iCs/>
          <w:color w:val="000000"/>
          <w:sz w:val="22"/>
          <w:szCs w:val="22"/>
        </w:rPr>
        <w:t xml:space="preserve"> </w:t>
      </w:r>
    </w:p>
    <w:sectPr w:rsidR="00A65C10" w:rsidRPr="009342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11C43"/>
    <w:rsid w:val="002A6D49"/>
    <w:rsid w:val="003E13E1"/>
    <w:rsid w:val="0047121D"/>
    <w:rsid w:val="004735F1"/>
    <w:rsid w:val="00500BDE"/>
    <w:rsid w:val="00504156"/>
    <w:rsid w:val="005739C6"/>
    <w:rsid w:val="006B2417"/>
    <w:rsid w:val="007550F5"/>
    <w:rsid w:val="007A473E"/>
    <w:rsid w:val="008C5394"/>
    <w:rsid w:val="008D2E06"/>
    <w:rsid w:val="0093421E"/>
    <w:rsid w:val="00944D2D"/>
    <w:rsid w:val="009D58DD"/>
    <w:rsid w:val="009F4EAD"/>
    <w:rsid w:val="00A114F2"/>
    <w:rsid w:val="00A46225"/>
    <w:rsid w:val="00A65C10"/>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7</cp:revision>
  <dcterms:created xsi:type="dcterms:W3CDTF">2026-02-17T13:47:00Z</dcterms:created>
  <dcterms:modified xsi:type="dcterms:W3CDTF">2026-02-25T12:05:00Z</dcterms:modified>
</cp:coreProperties>
</file>